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6E" w:rsidRPr="005B07D1" w:rsidRDefault="008109FA" w:rsidP="008109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7D1">
        <w:rPr>
          <w:rFonts w:ascii="Times New Roman" w:hAnsi="Times New Roman" w:cs="Times New Roman"/>
          <w:b/>
          <w:bCs/>
          <w:sz w:val="28"/>
          <w:szCs w:val="28"/>
        </w:rPr>
        <w:t>Draft Project of the Instructions of Central Risk</w:t>
      </w:r>
      <w:r w:rsidR="00EB6C76" w:rsidRPr="005B07D1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5B07D1">
        <w:rPr>
          <w:rFonts w:ascii="Times New Roman" w:hAnsi="Times New Roman" w:cs="Times New Roman"/>
          <w:b/>
          <w:bCs/>
          <w:sz w:val="28"/>
          <w:szCs w:val="28"/>
        </w:rPr>
        <w:t xml:space="preserve"> System</w:t>
      </w:r>
    </w:p>
    <w:p w:rsidR="008109FA" w:rsidRDefault="008109FA" w:rsidP="008109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D17C6" w:rsidRDefault="002D17C6" w:rsidP="004A263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2C86" w:rsidRDefault="00C22C86" w:rsidP="004A263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0C4D" w:rsidRDefault="00380C4D" w:rsidP="00272B4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AD5696" w:rsidRDefault="00AD5696" w:rsidP="00272B4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36BC9" w:rsidRDefault="002D17C6" w:rsidP="00272B44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80C4D">
        <w:rPr>
          <w:rFonts w:ascii="Times New Roman" w:hAnsi="Times New Roman" w:cs="Times New Roman"/>
          <w:sz w:val="28"/>
          <w:szCs w:val="28"/>
        </w:rPr>
        <w:t xml:space="preserve">These Instructions shall be known as </w:t>
      </w:r>
      <w:r w:rsidRPr="00380C4D">
        <w:rPr>
          <w:rFonts w:ascii="Times New Roman" w:hAnsi="Times New Roman" w:cs="Times New Roman"/>
          <w:b/>
          <w:bCs/>
          <w:sz w:val="28"/>
          <w:szCs w:val="28"/>
        </w:rPr>
        <w:t>“The Instructions of Central Risk</w:t>
      </w:r>
      <w:r w:rsidR="00EB6C76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380C4D">
        <w:rPr>
          <w:rFonts w:ascii="Times New Roman" w:hAnsi="Times New Roman" w:cs="Times New Roman"/>
          <w:b/>
          <w:bCs/>
          <w:sz w:val="28"/>
          <w:szCs w:val="28"/>
        </w:rPr>
        <w:t xml:space="preserve"> System for the year 2012”</w:t>
      </w:r>
      <w:r w:rsidRPr="00380C4D">
        <w:rPr>
          <w:rFonts w:ascii="Times New Roman" w:hAnsi="Times New Roman" w:cs="Times New Roman"/>
          <w:sz w:val="28"/>
          <w:szCs w:val="28"/>
        </w:rPr>
        <w:t xml:space="preserve"> &amp; shall come into effect as o</w:t>
      </w:r>
      <w:r w:rsidR="005F7EF6">
        <w:rPr>
          <w:rFonts w:ascii="Times New Roman" w:hAnsi="Times New Roman" w:cs="Times New Roman"/>
          <w:sz w:val="28"/>
          <w:szCs w:val="28"/>
        </w:rPr>
        <w:t>f---------.</w:t>
      </w:r>
    </w:p>
    <w:p w:rsidR="00AD5696" w:rsidRPr="007818E3" w:rsidRDefault="00AD5696" w:rsidP="00272B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6DE" w:rsidRPr="00380C4D" w:rsidRDefault="006766DE" w:rsidP="00272B4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5696" w:rsidRDefault="00AD5696" w:rsidP="00272B4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36BC9" w:rsidRDefault="002D17C6" w:rsidP="00272B4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0DAC">
        <w:rPr>
          <w:rFonts w:ascii="Times New Roman" w:hAnsi="Times New Roman" w:cs="Times New Roman"/>
          <w:sz w:val="28"/>
          <w:szCs w:val="28"/>
        </w:rPr>
        <w:t>The following words &amp; phrases wherever mentioned in these Instructions shall have the meanings ascribed thereto hereunder unless the context indicates otherwise:</w:t>
      </w:r>
    </w:p>
    <w:p w:rsidR="00AD5696" w:rsidRPr="00380C4D" w:rsidRDefault="00AD5696" w:rsidP="00272B44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09FA" w:rsidRPr="002D17C6" w:rsidRDefault="00E51BA9" w:rsidP="00272B4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="002D17C6">
        <w:rPr>
          <w:rFonts w:ascii="Times New Roman" w:hAnsi="Times New Roman" w:cs="Times New Roman"/>
          <w:b/>
          <w:bCs/>
          <w:sz w:val="28"/>
          <w:szCs w:val="28"/>
        </w:rPr>
        <w:t xml:space="preserve">Commission: </w:t>
      </w:r>
      <w:r w:rsidR="00A01C57">
        <w:rPr>
          <w:rFonts w:ascii="Times New Roman" w:hAnsi="Times New Roman" w:cs="Times New Roman"/>
          <w:sz w:val="28"/>
          <w:szCs w:val="28"/>
        </w:rPr>
        <w:t>T</w:t>
      </w:r>
      <w:r w:rsidR="00A01C57" w:rsidRPr="00A01C57">
        <w:rPr>
          <w:rFonts w:ascii="Times New Roman" w:hAnsi="Times New Roman" w:cs="Times New Roman"/>
          <w:sz w:val="28"/>
          <w:szCs w:val="28"/>
        </w:rPr>
        <w:t xml:space="preserve">he </w:t>
      </w:r>
      <w:r w:rsidR="002D17C6" w:rsidRPr="002D17C6">
        <w:rPr>
          <w:rFonts w:ascii="Times New Roman" w:hAnsi="Times New Roman" w:cs="Times New Roman"/>
          <w:sz w:val="28"/>
          <w:szCs w:val="28"/>
        </w:rPr>
        <w:t>Jordan Securities Commission (JSC)</w:t>
      </w:r>
      <w:r w:rsidR="008109FA" w:rsidRPr="002D17C6">
        <w:rPr>
          <w:rFonts w:ascii="Times New Roman" w:hAnsi="Times New Roman" w:cs="Times New Roman"/>
          <w:sz w:val="28"/>
          <w:szCs w:val="28"/>
        </w:rPr>
        <w:t>.</w:t>
      </w:r>
    </w:p>
    <w:p w:rsidR="008109FA" w:rsidRPr="002D17C6" w:rsidRDefault="00E51BA9" w:rsidP="00272B4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="002D17C6" w:rsidRPr="002D17C6">
        <w:rPr>
          <w:rFonts w:ascii="Times New Roman" w:hAnsi="Times New Roman" w:cs="Times New Roman"/>
          <w:b/>
          <w:bCs/>
          <w:sz w:val="28"/>
          <w:szCs w:val="28"/>
        </w:rPr>
        <w:t>Board:</w:t>
      </w:r>
      <w:r w:rsidR="002D17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2D17C6" w:rsidRPr="002D17C6">
        <w:rPr>
          <w:rFonts w:ascii="Times New Roman" w:hAnsi="Times New Roman" w:cs="Times New Roman"/>
          <w:sz w:val="28"/>
          <w:szCs w:val="28"/>
        </w:rPr>
        <w:t>Board of</w:t>
      </w:r>
      <w:r w:rsidR="00B3375A">
        <w:rPr>
          <w:rFonts w:ascii="Times New Roman" w:hAnsi="Times New Roman" w:cs="Times New Roman"/>
          <w:sz w:val="28"/>
          <w:szCs w:val="28"/>
        </w:rPr>
        <w:t xml:space="preserve"> Commissioners</w:t>
      </w:r>
      <w:r>
        <w:rPr>
          <w:rFonts w:ascii="Times New Roman" w:hAnsi="Times New Roman" w:cs="Times New Roman"/>
          <w:sz w:val="28"/>
          <w:szCs w:val="28"/>
        </w:rPr>
        <w:t xml:space="preserve"> of the Commission</w:t>
      </w:r>
      <w:r w:rsidR="008109FA" w:rsidRPr="002D17C6">
        <w:rPr>
          <w:rFonts w:ascii="Times New Roman" w:hAnsi="Times New Roman" w:cs="Times New Roman"/>
          <w:sz w:val="28"/>
          <w:szCs w:val="28"/>
        </w:rPr>
        <w:t>.</w:t>
      </w:r>
    </w:p>
    <w:p w:rsidR="008109FA" w:rsidRPr="00BA60CB" w:rsidRDefault="002D17C6" w:rsidP="00272B4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0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The System: </w:t>
      </w:r>
      <w:r w:rsidR="0048758B" w:rsidRPr="00BA6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</w:t>
      </w:r>
      <w:r w:rsidR="00336BC9" w:rsidRPr="00BA60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‘</w:t>
      </w:r>
      <w:r w:rsidR="0048758B" w:rsidRPr="00BA60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Central Risk</w:t>
      </w:r>
      <w:r w:rsidR="00EB6C76" w:rsidRPr="00BA60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</w:t>
      </w:r>
      <w:r w:rsidR="0048758B" w:rsidRPr="00BA60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System</w:t>
      </w:r>
      <w:r w:rsidR="00336BC9" w:rsidRPr="00BA60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’</w:t>
      </w:r>
      <w:r w:rsidR="00BC5503" w:rsidRPr="00BC550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48758B" w:rsidRPr="00BA6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5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is </w:t>
      </w:r>
      <w:r w:rsidR="0048758B" w:rsidRPr="00BA6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 electronic system that enables the </w:t>
      </w:r>
      <w:r w:rsidR="0048758B" w:rsidRPr="00BA60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Financial Broker</w:t>
      </w:r>
      <w:r w:rsidR="0048758B" w:rsidRPr="00BA6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 </w:t>
      </w:r>
      <w:r w:rsidR="00B3375A">
        <w:rPr>
          <w:rFonts w:ascii="Times New Roman" w:hAnsi="Times New Roman" w:cs="Times New Roman"/>
          <w:color w:val="000000" w:themeColor="text1"/>
          <w:sz w:val="28"/>
          <w:szCs w:val="28"/>
        </w:rPr>
        <w:t>down</w:t>
      </w:r>
      <w:r w:rsidR="0048758B" w:rsidRPr="00BA60CB">
        <w:rPr>
          <w:rFonts w:ascii="Times New Roman" w:hAnsi="Times New Roman" w:cs="Times New Roman"/>
          <w:color w:val="000000" w:themeColor="text1"/>
          <w:sz w:val="28"/>
          <w:szCs w:val="28"/>
        </w:rPr>
        <w:t>load data</w:t>
      </w:r>
      <w:r w:rsidR="0048758B" w:rsidRPr="00182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375A" w:rsidRPr="00182572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r w:rsidR="00B3375A" w:rsidRPr="00E51B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36BC9" w:rsidRPr="00BA60CB">
        <w:rPr>
          <w:rFonts w:ascii="Times New Roman" w:hAnsi="Times New Roman" w:cs="Times New Roman"/>
          <w:color w:val="000000" w:themeColor="text1"/>
          <w:sz w:val="28"/>
          <w:szCs w:val="28"/>
        </w:rPr>
        <w:t>his clients &amp; to inquire</w:t>
      </w:r>
      <w:r w:rsidR="0048758B" w:rsidRPr="00182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5503" w:rsidRPr="00182572">
        <w:rPr>
          <w:rFonts w:ascii="Times New Roman" w:hAnsi="Times New Roman" w:cs="Times New Roman"/>
          <w:color w:val="000000" w:themeColor="text1"/>
          <w:sz w:val="28"/>
          <w:szCs w:val="28"/>
        </w:rPr>
        <w:t>about</w:t>
      </w:r>
      <w:r w:rsidR="00B33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375A" w:rsidRPr="00BA6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Information of Central Risks </w:t>
      </w:r>
      <w:r w:rsidR="0048758B" w:rsidRPr="00BA6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by </w:t>
      </w:r>
      <w:r w:rsidR="00BC5503">
        <w:rPr>
          <w:rFonts w:ascii="Times New Roman" w:hAnsi="Times New Roman" w:cs="Times New Roman"/>
          <w:color w:val="000000" w:themeColor="text1"/>
          <w:sz w:val="28"/>
          <w:szCs w:val="28"/>
        </w:rPr>
        <w:t>their legal authorization</w:t>
      </w:r>
      <w:r w:rsidR="008109FA" w:rsidRPr="00BA60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15FB" w:rsidRPr="00A715FB" w:rsidRDefault="00336BC9" w:rsidP="00272B4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9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Information of Central Risks:</w:t>
      </w:r>
      <w:r w:rsidRPr="00745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information o</w:t>
      </w:r>
      <w:r w:rsidR="007459A7" w:rsidRPr="007459A7">
        <w:rPr>
          <w:rFonts w:ascii="Times New Roman" w:hAnsi="Times New Roman" w:cs="Times New Roman"/>
          <w:color w:val="000000" w:themeColor="text1"/>
          <w:sz w:val="28"/>
          <w:szCs w:val="28"/>
        </w:rPr>
        <w:t>f</w:t>
      </w:r>
      <w:r w:rsidRPr="00745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0C45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r w:rsidRPr="00745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client total account rece</w:t>
      </w:r>
      <w:r w:rsidR="007459A7" w:rsidRPr="00745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ivables </w:t>
      </w:r>
      <w:r w:rsidR="006843BF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Pr="007459A7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684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all</w:t>
      </w:r>
      <w:r w:rsidRPr="00745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Financial Brokerage Companies</w:t>
      </w:r>
      <w:r w:rsidR="007459A7" w:rsidRPr="007459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45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59A7" w:rsidRPr="00745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5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including </w:t>
      </w:r>
      <w:r w:rsidR="00684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those </w:t>
      </w:r>
      <w:r w:rsidR="007459A7" w:rsidRPr="007459A7">
        <w:rPr>
          <w:rFonts w:ascii="Times New Roman" w:hAnsi="Times New Roman" w:cs="Times New Roman"/>
          <w:color w:val="000000" w:themeColor="text1"/>
          <w:sz w:val="28"/>
          <w:szCs w:val="28"/>
        </w:rPr>
        <w:t>granted to h</w:t>
      </w:r>
      <w:r w:rsidRPr="007459A7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7459A7" w:rsidRPr="007459A7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 w:rsidRPr="00745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by Financial Brokers &amp; </w:t>
      </w:r>
      <w:r w:rsidRPr="00C14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guarantees </w:t>
      </w:r>
      <w:r w:rsidR="007341D6" w:rsidRPr="00C14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provided </w:t>
      </w:r>
      <w:r w:rsidRPr="00C14259">
        <w:rPr>
          <w:rFonts w:ascii="Times New Roman" w:hAnsi="Times New Roman" w:cs="Times New Roman"/>
          <w:color w:val="000000" w:themeColor="text1"/>
          <w:sz w:val="28"/>
          <w:szCs w:val="28"/>
        </w:rPr>
        <w:t>in</w:t>
      </w:r>
      <w:r w:rsidRPr="00745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ret</w:t>
      </w:r>
      <w:r w:rsidR="00684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urn of </w:t>
      </w:r>
      <w:r w:rsidR="00FB7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these </w:t>
      </w:r>
      <w:r w:rsidR="006843BF">
        <w:rPr>
          <w:rFonts w:ascii="Times New Roman" w:hAnsi="Times New Roman" w:cs="Times New Roman"/>
          <w:color w:val="000000" w:themeColor="text1"/>
          <w:sz w:val="28"/>
          <w:szCs w:val="28"/>
        </w:rPr>
        <w:t>account receivables</w:t>
      </w:r>
      <w:r w:rsidR="008109FA" w:rsidRPr="007459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09FA" w:rsidRDefault="002D17C6" w:rsidP="00272B4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Financial Broker: </w:t>
      </w:r>
      <w:r w:rsidRPr="002D17C6">
        <w:rPr>
          <w:rFonts w:ascii="Times New Roman" w:hAnsi="Times New Roman" w:cs="Times New Roman"/>
          <w:sz w:val="28"/>
          <w:szCs w:val="28"/>
        </w:rPr>
        <w:t>Any person engaged in the business of buying &amp; selling securities for the account of others</w:t>
      </w:r>
      <w:r w:rsidR="008109FA" w:rsidRPr="002D17C6">
        <w:rPr>
          <w:rFonts w:ascii="Times New Roman" w:hAnsi="Times New Roman" w:cs="Times New Roman"/>
          <w:sz w:val="28"/>
          <w:szCs w:val="28"/>
        </w:rPr>
        <w:t>.</w:t>
      </w:r>
    </w:p>
    <w:p w:rsidR="008109FA" w:rsidRPr="00013CC1" w:rsidRDefault="003A5442" w:rsidP="00272B4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13C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Senior Management: </w:t>
      </w:r>
      <w:r w:rsidR="00746355" w:rsidRPr="00013CC1">
        <w:rPr>
          <w:rFonts w:ascii="Times New Roman" w:hAnsi="Times New Roman" w:cs="Times New Roman"/>
          <w:color w:val="000000" w:themeColor="text1"/>
          <w:sz w:val="28"/>
          <w:szCs w:val="28"/>
        </w:rPr>
        <w:t>Chairman &amp;</w:t>
      </w:r>
      <w:r w:rsidRPr="00013C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6355" w:rsidRPr="00013CC1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 w:rsidRPr="00013C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embers of the Board of Directors/ </w:t>
      </w:r>
      <w:r w:rsidR="00746355" w:rsidRPr="00013C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Board of Executives &amp; the General Manager of a Financial </w:t>
      </w:r>
      <w:r w:rsidR="00680853">
        <w:rPr>
          <w:rFonts w:ascii="Times New Roman" w:hAnsi="Times New Roman" w:cs="Times New Roman"/>
          <w:color w:val="000000" w:themeColor="text1"/>
          <w:sz w:val="28"/>
          <w:szCs w:val="28"/>
        </w:rPr>
        <w:t>Brokerage Company</w:t>
      </w:r>
      <w:r w:rsidR="00746355" w:rsidRPr="00013C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09FA" w:rsidRPr="00F22241" w:rsidRDefault="00972291" w:rsidP="00272B4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222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Client: </w:t>
      </w:r>
      <w:r w:rsidR="00F22241" w:rsidRPr="00F22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Any person identified </w:t>
      </w:r>
      <w:r w:rsidR="00680853">
        <w:rPr>
          <w:rFonts w:ascii="Times New Roman" w:hAnsi="Times New Roman" w:cs="Times New Roman"/>
          <w:color w:val="000000" w:themeColor="text1"/>
          <w:sz w:val="28"/>
          <w:szCs w:val="28"/>
        </w:rPr>
        <w:t>in</w:t>
      </w:r>
      <w:r w:rsidR="00F22241" w:rsidRPr="00F22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Securities Depository Center (SDC)</w:t>
      </w:r>
      <w:r w:rsidR="0068085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22241" w:rsidRPr="00F22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deal</w:t>
      </w:r>
      <w:r w:rsidR="00680853">
        <w:rPr>
          <w:rFonts w:ascii="Times New Roman" w:hAnsi="Times New Roman" w:cs="Times New Roman"/>
          <w:color w:val="000000" w:themeColor="text1"/>
          <w:sz w:val="28"/>
          <w:szCs w:val="28"/>
        </w:rPr>
        <w:t>ing</w:t>
      </w:r>
      <w:r w:rsidR="00F22241" w:rsidRPr="00F22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&amp; wish</w:t>
      </w:r>
      <w:r w:rsidR="00680853">
        <w:rPr>
          <w:rFonts w:ascii="Times New Roman" w:hAnsi="Times New Roman" w:cs="Times New Roman"/>
          <w:color w:val="000000" w:themeColor="text1"/>
          <w:sz w:val="28"/>
          <w:szCs w:val="28"/>
        </w:rPr>
        <w:t>ing</w:t>
      </w:r>
      <w:r w:rsidR="00F22241" w:rsidRPr="00F22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 deal with a Financial Broker to trade in Amman Stock Exchange</w:t>
      </w:r>
      <w:r w:rsidR="00CF78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09FA" w:rsidRDefault="00500130" w:rsidP="00272B4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The Market:</w:t>
      </w:r>
      <w:r w:rsidR="006808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1C57" w:rsidRPr="00A01C57">
        <w:rPr>
          <w:rFonts w:ascii="Times New Roman" w:hAnsi="Times New Roman" w:cs="Times New Roman"/>
          <w:sz w:val="28"/>
          <w:szCs w:val="28"/>
        </w:rPr>
        <w:t>The</w:t>
      </w:r>
      <w:r w:rsidR="00A01C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Amman Stock Exchange (ASE) or any </w:t>
      </w:r>
      <w:r w:rsidR="0048758B">
        <w:rPr>
          <w:rFonts w:ascii="Times New Roman" w:hAnsi="Times New Roman" w:cs="Times New Roman"/>
          <w:sz w:val="28"/>
          <w:szCs w:val="28"/>
        </w:rPr>
        <w:t>Trading M</w:t>
      </w:r>
      <w:r>
        <w:rPr>
          <w:rFonts w:ascii="Times New Roman" w:hAnsi="Times New Roman" w:cs="Times New Roman"/>
          <w:sz w:val="28"/>
          <w:szCs w:val="28"/>
        </w:rPr>
        <w:t xml:space="preserve">arket </w:t>
      </w:r>
      <w:r w:rsidR="0048758B">
        <w:rPr>
          <w:rFonts w:ascii="Times New Roman" w:hAnsi="Times New Roman" w:cs="Times New Roman"/>
          <w:sz w:val="28"/>
          <w:szCs w:val="28"/>
        </w:rPr>
        <w:t>in S</w:t>
      </w:r>
      <w:r>
        <w:rPr>
          <w:rFonts w:ascii="Times New Roman" w:hAnsi="Times New Roman" w:cs="Times New Roman"/>
          <w:sz w:val="28"/>
          <w:szCs w:val="28"/>
        </w:rPr>
        <w:t>ecurities licensed by the Commission</w:t>
      </w:r>
      <w:r w:rsidR="008109FA" w:rsidRPr="00500130">
        <w:rPr>
          <w:rFonts w:ascii="Times New Roman" w:hAnsi="Times New Roman" w:cs="Times New Roman"/>
          <w:sz w:val="28"/>
          <w:szCs w:val="28"/>
        </w:rPr>
        <w:t>.</w:t>
      </w:r>
    </w:p>
    <w:p w:rsidR="00CE26AE" w:rsidRPr="00C22C86" w:rsidRDefault="00187AB0" w:rsidP="00C22C8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Legal</w:t>
      </w:r>
      <w:r w:rsidR="00FB52B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Authori</w:t>
      </w:r>
      <w:r w:rsidR="006565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zation</w:t>
      </w:r>
      <w:r w:rsidR="00FB52B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o</w:t>
      </w:r>
      <w:r w:rsidR="006565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f</w:t>
      </w:r>
      <w:r w:rsidR="00FF5D6C" w:rsidRPr="003B63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View</w:t>
      </w:r>
      <w:r w:rsidR="006565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ing</w:t>
      </w:r>
      <w:r w:rsidR="00FF5D6C" w:rsidRPr="003B63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3523C7" w:rsidRPr="003523C7">
        <w:rPr>
          <w:rFonts w:ascii="Times New Roman" w:hAnsi="Times New Roman" w:cs="Times New Roman"/>
          <w:color w:val="000000" w:themeColor="text1"/>
          <w:sz w:val="28"/>
          <w:szCs w:val="28"/>
        </w:rPr>
        <w:t>The client</w:t>
      </w:r>
      <w:r w:rsidR="00671EA1" w:rsidRPr="00352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written approval</w:t>
      </w:r>
      <w:r w:rsidR="00671EA1" w:rsidRPr="003B6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2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to the </w:t>
      </w:r>
      <w:r w:rsidR="003523C7" w:rsidRPr="003B6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Financial Broker </w:t>
      </w:r>
      <w:r w:rsidR="00352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granting him </w:t>
      </w:r>
      <w:r w:rsidR="0035185D">
        <w:rPr>
          <w:rFonts w:ascii="Times New Roman" w:hAnsi="Times New Roman" w:cs="Times New Roman"/>
          <w:color w:val="000000" w:themeColor="text1"/>
          <w:sz w:val="28"/>
          <w:szCs w:val="28"/>
        </w:rPr>
        <w:t>L</w:t>
      </w:r>
      <w:r w:rsidR="00352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egal </w:t>
      </w:r>
      <w:r w:rsidR="0035185D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3523C7">
        <w:rPr>
          <w:rFonts w:ascii="Times New Roman" w:hAnsi="Times New Roman" w:cs="Times New Roman"/>
          <w:color w:val="000000" w:themeColor="text1"/>
          <w:sz w:val="28"/>
          <w:szCs w:val="28"/>
        </w:rPr>
        <w:t>uthori</w:t>
      </w:r>
      <w:r w:rsidR="00656562">
        <w:rPr>
          <w:rFonts w:ascii="Times New Roman" w:hAnsi="Times New Roman" w:cs="Times New Roman"/>
          <w:color w:val="000000" w:themeColor="text1"/>
          <w:sz w:val="28"/>
          <w:szCs w:val="28"/>
        </w:rPr>
        <w:t>zation</w:t>
      </w:r>
      <w:r w:rsidR="00352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43F5" w:rsidRPr="003B639F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656562">
        <w:rPr>
          <w:rFonts w:ascii="Times New Roman" w:hAnsi="Times New Roman" w:cs="Times New Roman"/>
          <w:color w:val="000000" w:themeColor="text1"/>
          <w:sz w:val="28"/>
          <w:szCs w:val="28"/>
        </w:rPr>
        <w:t>f</w:t>
      </w:r>
      <w:r w:rsidR="000B43F5" w:rsidRPr="003B6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185D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="00671EA1" w:rsidRPr="003B639F">
        <w:rPr>
          <w:rFonts w:ascii="Times New Roman" w:hAnsi="Times New Roman" w:cs="Times New Roman"/>
          <w:color w:val="000000" w:themeColor="text1"/>
          <w:sz w:val="28"/>
          <w:szCs w:val="28"/>
        </w:rPr>
        <w:t>iew</w:t>
      </w:r>
      <w:r w:rsidR="00656562">
        <w:rPr>
          <w:rFonts w:ascii="Times New Roman" w:hAnsi="Times New Roman" w:cs="Times New Roman"/>
          <w:color w:val="000000" w:themeColor="text1"/>
          <w:sz w:val="28"/>
          <w:szCs w:val="28"/>
        </w:rPr>
        <w:t>ing</w:t>
      </w:r>
      <w:r w:rsidR="00671EA1" w:rsidRPr="003B6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573D">
        <w:rPr>
          <w:rFonts w:ascii="Times New Roman" w:hAnsi="Times New Roman" w:cs="Times New Roman"/>
          <w:color w:val="000000" w:themeColor="text1"/>
          <w:sz w:val="28"/>
          <w:szCs w:val="28"/>
        </w:rPr>
        <w:t>his</w:t>
      </w:r>
      <w:r w:rsidR="00FF2CB6" w:rsidRPr="003B6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1EA1" w:rsidRPr="003B639F">
        <w:rPr>
          <w:rFonts w:ascii="Times New Roman" w:hAnsi="Times New Roman" w:cs="Times New Roman"/>
          <w:color w:val="000000" w:themeColor="text1"/>
          <w:sz w:val="28"/>
          <w:szCs w:val="28"/>
        </w:rPr>
        <w:t>Information of Central Risks at the Commission.</w:t>
      </w:r>
    </w:p>
    <w:p w:rsidR="00CE26AE" w:rsidRDefault="00CE26AE" w:rsidP="00272B4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26AE" w:rsidRDefault="00CE26AE" w:rsidP="00272B44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2604" w:rsidRDefault="00EB6C76" w:rsidP="00272B44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6AE">
        <w:rPr>
          <w:rFonts w:ascii="Times New Roman" w:hAnsi="Times New Roman" w:cs="Times New Roman"/>
          <w:color w:val="000000" w:themeColor="text1"/>
          <w:sz w:val="28"/>
          <w:szCs w:val="28"/>
        </w:rPr>
        <w:t>The Commission shall provide the Financial Broker</w:t>
      </w:r>
      <w:r w:rsidR="005E59B4" w:rsidRPr="00CE2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6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with </w:t>
      </w:r>
      <w:r w:rsidR="005E59B4" w:rsidRPr="00CE26AE">
        <w:rPr>
          <w:rFonts w:ascii="Times New Roman" w:hAnsi="Times New Roman" w:cs="Times New Roman"/>
          <w:color w:val="000000" w:themeColor="text1"/>
          <w:sz w:val="28"/>
          <w:szCs w:val="28"/>
        </w:rPr>
        <w:t>the service o</w:t>
      </w:r>
      <w:r w:rsidR="00466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 </w:t>
      </w:r>
      <w:r w:rsidRPr="00CE2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Central Risks </w:t>
      </w:r>
      <w:r w:rsidR="00466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System, </w:t>
      </w:r>
      <w:r w:rsidRPr="00CE2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to view </w:t>
      </w:r>
      <w:r w:rsidR="00466084">
        <w:rPr>
          <w:rFonts w:ascii="Times New Roman" w:hAnsi="Times New Roman" w:cs="Times New Roman"/>
          <w:color w:val="000000" w:themeColor="text1"/>
          <w:sz w:val="28"/>
          <w:szCs w:val="28"/>
        </w:rPr>
        <w:t>all</w:t>
      </w:r>
      <w:r w:rsidRPr="00CE2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6084">
        <w:rPr>
          <w:rFonts w:ascii="Times New Roman" w:hAnsi="Times New Roman" w:cs="Times New Roman"/>
          <w:color w:val="000000" w:themeColor="text1"/>
          <w:sz w:val="28"/>
          <w:szCs w:val="28"/>
        </w:rPr>
        <w:t>client</w:t>
      </w:r>
      <w:r w:rsidR="00002E2E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5E59B4" w:rsidRPr="00CE2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6AE">
        <w:rPr>
          <w:rFonts w:ascii="Times New Roman" w:hAnsi="Times New Roman" w:cs="Times New Roman"/>
          <w:color w:val="000000" w:themeColor="text1"/>
          <w:sz w:val="28"/>
          <w:szCs w:val="28"/>
        </w:rPr>
        <w:t>Information of Cen</w:t>
      </w:r>
      <w:r w:rsidR="005E59B4" w:rsidRPr="00CE26AE">
        <w:rPr>
          <w:rFonts w:ascii="Times New Roman" w:hAnsi="Times New Roman" w:cs="Times New Roman"/>
          <w:color w:val="000000" w:themeColor="text1"/>
          <w:sz w:val="28"/>
          <w:szCs w:val="28"/>
        </w:rPr>
        <w:t>tral Risks in</w:t>
      </w:r>
      <w:r w:rsidRPr="00CE2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all Financial </w:t>
      </w:r>
      <w:r w:rsidR="00834C59" w:rsidRPr="00CE2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Brokerage </w:t>
      </w:r>
      <w:r w:rsidR="00466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Companies </w:t>
      </w:r>
      <w:r w:rsidRPr="00CE2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operating in the </w:t>
      </w:r>
      <w:r w:rsidR="00E553E5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 w:rsidRPr="00CE26AE">
        <w:rPr>
          <w:rFonts w:ascii="Times New Roman" w:hAnsi="Times New Roman" w:cs="Times New Roman"/>
          <w:color w:val="000000" w:themeColor="text1"/>
          <w:sz w:val="28"/>
          <w:szCs w:val="28"/>
        </w:rPr>
        <w:t>arket</w:t>
      </w:r>
      <w:r w:rsidR="005E59B4" w:rsidRPr="00CE26AE">
        <w:rPr>
          <w:rFonts w:ascii="Times New Roman" w:hAnsi="Times New Roman" w:cs="Times New Roman"/>
          <w:color w:val="000000" w:themeColor="text1"/>
          <w:sz w:val="28"/>
          <w:szCs w:val="28"/>
        </w:rPr>
        <w:t>, including total indebtedness &amp;</w:t>
      </w:r>
      <w:r w:rsidRPr="00CE2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value of guarantee</w:t>
      </w:r>
      <w:r w:rsidR="00466084">
        <w:rPr>
          <w:rFonts w:ascii="Times New Roman" w:hAnsi="Times New Roman" w:cs="Times New Roman"/>
          <w:color w:val="000000" w:themeColor="text1"/>
          <w:sz w:val="28"/>
          <w:szCs w:val="28"/>
        </w:rPr>
        <w:t>s in return of this</w:t>
      </w:r>
      <w:r w:rsidR="008109FA" w:rsidRPr="00CE26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26AE" w:rsidRPr="00CE26AE" w:rsidRDefault="00CE26AE" w:rsidP="00272B44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26AE" w:rsidRDefault="00CE26AE" w:rsidP="00272B4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26AE" w:rsidRDefault="00CE26AE" w:rsidP="00272B44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2C9E" w:rsidRDefault="009D2665" w:rsidP="00272B44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Financial Broker </w:t>
      </w:r>
      <w:r w:rsidR="00302D78">
        <w:rPr>
          <w:rFonts w:ascii="Times New Roman" w:hAnsi="Times New Roman" w:cs="Times New Roman"/>
          <w:color w:val="000000" w:themeColor="text1"/>
          <w:sz w:val="28"/>
          <w:szCs w:val="28"/>
        </w:rPr>
        <w:t>shall have</w:t>
      </w:r>
      <w:r w:rsidRPr="00CE2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right to inquire regularly about his current &amp; new clients via the </w:t>
      </w:r>
      <w:r w:rsidR="00302D78">
        <w:rPr>
          <w:rFonts w:ascii="Times New Roman" w:hAnsi="Times New Roman" w:cs="Times New Roman"/>
          <w:color w:val="000000" w:themeColor="text1"/>
          <w:sz w:val="28"/>
          <w:szCs w:val="28"/>
        </w:rPr>
        <w:t>System to take decisions</w:t>
      </w:r>
      <w:r w:rsidRPr="00CE2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 financ</w:t>
      </w:r>
      <w:r w:rsidR="00302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 </w:t>
      </w:r>
      <w:r w:rsidR="00002E2E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302D78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="00002E2E"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r w:rsidR="00302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by virtue of </w:t>
      </w:r>
      <w:r w:rsidR="00302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their </w:t>
      </w:r>
      <w:r w:rsidR="00F0197C">
        <w:rPr>
          <w:rFonts w:ascii="Times New Roman" w:hAnsi="Times New Roman" w:cs="Times New Roman"/>
          <w:color w:val="000000" w:themeColor="text1"/>
          <w:sz w:val="28"/>
          <w:szCs w:val="28"/>
        </w:rPr>
        <w:t>Legal A</w:t>
      </w:r>
      <w:r w:rsidR="00302D78">
        <w:rPr>
          <w:rFonts w:ascii="Times New Roman" w:hAnsi="Times New Roman" w:cs="Times New Roman"/>
          <w:color w:val="000000" w:themeColor="text1"/>
          <w:sz w:val="28"/>
          <w:szCs w:val="28"/>
        </w:rPr>
        <w:t>uthorization</w:t>
      </w:r>
      <w:r w:rsidR="008109FA" w:rsidRPr="00CE26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26AE" w:rsidRPr="00CE26AE" w:rsidRDefault="00CE26AE" w:rsidP="00272B44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4821" w:rsidRDefault="00A54821" w:rsidP="00272B4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101DAB" w:rsidRDefault="00101DAB" w:rsidP="00272B4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2C9E" w:rsidRDefault="00E73D25" w:rsidP="00272B4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4821">
        <w:rPr>
          <w:rFonts w:ascii="Times New Roman" w:hAnsi="Times New Roman" w:cs="Times New Roman"/>
          <w:sz w:val="28"/>
          <w:szCs w:val="28"/>
        </w:rPr>
        <w:t xml:space="preserve">The </w:t>
      </w:r>
      <w:r w:rsidR="00656562">
        <w:rPr>
          <w:rFonts w:ascii="Times New Roman" w:hAnsi="Times New Roman" w:cs="Times New Roman"/>
          <w:sz w:val="28"/>
          <w:szCs w:val="28"/>
        </w:rPr>
        <w:t xml:space="preserve">Legal </w:t>
      </w:r>
      <w:r w:rsidR="00B903F3" w:rsidRPr="00B90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Authorization </w:t>
      </w:r>
      <w:r w:rsidRPr="00B903F3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B903F3" w:rsidRPr="00B903F3">
        <w:rPr>
          <w:rFonts w:ascii="Times New Roman" w:hAnsi="Times New Roman" w:cs="Times New Roman"/>
          <w:color w:val="000000" w:themeColor="text1"/>
          <w:sz w:val="28"/>
          <w:szCs w:val="28"/>
        </w:rPr>
        <w:t>f</w:t>
      </w:r>
      <w:r w:rsidRPr="00B90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View</w:t>
      </w:r>
      <w:r w:rsidR="00B903F3" w:rsidRPr="00B903F3">
        <w:rPr>
          <w:rFonts w:ascii="Times New Roman" w:hAnsi="Times New Roman" w:cs="Times New Roman"/>
          <w:color w:val="000000" w:themeColor="text1"/>
          <w:sz w:val="28"/>
          <w:szCs w:val="28"/>
        </w:rPr>
        <w:t>ing</w:t>
      </w:r>
      <w:r w:rsidRPr="00A54821">
        <w:rPr>
          <w:rFonts w:ascii="Times New Roman" w:hAnsi="Times New Roman" w:cs="Times New Roman"/>
          <w:sz w:val="28"/>
          <w:szCs w:val="28"/>
        </w:rPr>
        <w:t xml:space="preserve"> referred to in Article (4) above includes the following:</w:t>
      </w:r>
    </w:p>
    <w:p w:rsidR="00101DAB" w:rsidRPr="007818E3" w:rsidRDefault="00101DAB" w:rsidP="00272B4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109FA" w:rsidRPr="00B116F7" w:rsidRDefault="00814ACC" w:rsidP="00272B4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1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</w:t>
      </w:r>
      <w:r w:rsidR="00960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clients’ </w:t>
      </w:r>
      <w:r w:rsidRPr="00B11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approval </w:t>
      </w:r>
      <w:r w:rsidR="00B903F3">
        <w:rPr>
          <w:rFonts w:ascii="Times New Roman" w:hAnsi="Times New Roman" w:cs="Times New Roman"/>
          <w:color w:val="000000" w:themeColor="text1"/>
          <w:sz w:val="28"/>
          <w:szCs w:val="28"/>
        </w:rPr>
        <w:t>to the Financial Broker to</w:t>
      </w:r>
      <w:r w:rsidRPr="00B11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inquire </w:t>
      </w:r>
      <w:r w:rsidR="00B90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about </w:t>
      </w:r>
      <w:r w:rsidRPr="00B11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&amp; </w:t>
      </w:r>
      <w:r w:rsidR="00B90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to </w:t>
      </w:r>
      <w:r w:rsidRPr="00B116F7">
        <w:rPr>
          <w:rFonts w:ascii="Times New Roman" w:hAnsi="Times New Roman" w:cs="Times New Roman"/>
          <w:color w:val="000000" w:themeColor="text1"/>
          <w:sz w:val="28"/>
          <w:szCs w:val="28"/>
        </w:rPr>
        <w:t>view via the System</w:t>
      </w:r>
      <w:r w:rsidR="009603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11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Information of Central Risks </w:t>
      </w:r>
      <w:r w:rsidR="00960380">
        <w:rPr>
          <w:rFonts w:ascii="Times New Roman" w:hAnsi="Times New Roman" w:cs="Times New Roman"/>
          <w:color w:val="000000" w:themeColor="text1"/>
          <w:sz w:val="28"/>
          <w:szCs w:val="28"/>
        </w:rPr>
        <w:t>in</w:t>
      </w:r>
      <w:r w:rsidR="0096601E" w:rsidRPr="00B11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Financial Brokerage Companies.</w:t>
      </w:r>
    </w:p>
    <w:p w:rsidR="008109FA" w:rsidRPr="00B116F7" w:rsidRDefault="0096601E" w:rsidP="00272B4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1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</w:t>
      </w:r>
      <w:r w:rsidR="00960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clients’ </w:t>
      </w:r>
      <w:r w:rsidRPr="00B116F7">
        <w:rPr>
          <w:rFonts w:ascii="Times New Roman" w:hAnsi="Times New Roman" w:cs="Times New Roman"/>
          <w:color w:val="000000" w:themeColor="text1"/>
          <w:sz w:val="28"/>
          <w:szCs w:val="28"/>
        </w:rPr>
        <w:t>approval</w:t>
      </w:r>
      <w:r w:rsidRPr="00274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4E16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r w:rsidRPr="00B11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Financial Broker </w:t>
      </w:r>
      <w:r w:rsidR="00674E16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r w:rsidRPr="00B11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provide his Information of Central Risks to the Commission to </w:t>
      </w:r>
      <w:r w:rsidR="00960380">
        <w:rPr>
          <w:rFonts w:ascii="Times New Roman" w:hAnsi="Times New Roman" w:cs="Times New Roman"/>
          <w:color w:val="000000" w:themeColor="text1"/>
          <w:sz w:val="28"/>
          <w:szCs w:val="28"/>
        </w:rPr>
        <w:t>inse</w:t>
      </w:r>
      <w:r w:rsidRPr="00B116F7">
        <w:rPr>
          <w:rFonts w:ascii="Times New Roman" w:hAnsi="Times New Roman" w:cs="Times New Roman"/>
          <w:color w:val="000000" w:themeColor="text1"/>
          <w:sz w:val="28"/>
          <w:szCs w:val="28"/>
        </w:rPr>
        <w:t>r</w:t>
      </w:r>
      <w:r w:rsidR="00960380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Pr="00B11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0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it </w:t>
      </w:r>
      <w:r w:rsidR="003D0821" w:rsidRPr="003D0821">
        <w:rPr>
          <w:rFonts w:ascii="Times New Roman" w:hAnsi="Times New Roman" w:cs="Times New Roman"/>
          <w:color w:val="000000" w:themeColor="text1"/>
          <w:sz w:val="28"/>
          <w:szCs w:val="28"/>
        </w:rPr>
        <w:t>in</w:t>
      </w:r>
      <w:r w:rsidRPr="003D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6F7">
        <w:rPr>
          <w:rFonts w:ascii="Times New Roman" w:hAnsi="Times New Roman" w:cs="Times New Roman"/>
          <w:color w:val="000000" w:themeColor="text1"/>
          <w:sz w:val="28"/>
          <w:szCs w:val="28"/>
        </w:rPr>
        <w:t>the System.</w:t>
      </w:r>
    </w:p>
    <w:p w:rsidR="008109FA" w:rsidRPr="00101DAB" w:rsidRDefault="0096601E" w:rsidP="00272B4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1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purpose </w:t>
      </w:r>
      <w:r w:rsidR="00ED1B62" w:rsidRPr="00B11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of having the client Central Information Risks &amp; his right to view </w:t>
      </w:r>
      <w:r w:rsidR="00290F10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ED1B62" w:rsidRPr="00B116F7">
        <w:rPr>
          <w:rFonts w:ascii="Times New Roman" w:hAnsi="Times New Roman" w:cs="Times New Roman"/>
          <w:color w:val="000000" w:themeColor="text1"/>
          <w:sz w:val="28"/>
          <w:szCs w:val="28"/>
        </w:rPr>
        <w:t>t.</w:t>
      </w:r>
    </w:p>
    <w:p w:rsidR="00101DAB" w:rsidRPr="00B116F7" w:rsidRDefault="00101DAB" w:rsidP="00272B44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7E0B" w:rsidRPr="00691FE7" w:rsidRDefault="00BE7E0B" w:rsidP="00272B4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101DAB" w:rsidRDefault="00101DAB" w:rsidP="00272B4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2C9E" w:rsidRDefault="00582C9E" w:rsidP="00272B4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4821">
        <w:rPr>
          <w:rFonts w:ascii="Times New Roman" w:hAnsi="Times New Roman" w:cs="Times New Roman"/>
          <w:sz w:val="28"/>
          <w:szCs w:val="28"/>
        </w:rPr>
        <w:t xml:space="preserve">The Financial Broker shall keep </w:t>
      </w:r>
      <w:r w:rsidR="000E56AA">
        <w:rPr>
          <w:rFonts w:ascii="Times New Roman" w:hAnsi="Times New Roman" w:cs="Times New Roman"/>
          <w:sz w:val="28"/>
          <w:szCs w:val="28"/>
        </w:rPr>
        <w:t>Legal A</w:t>
      </w:r>
      <w:r w:rsidRPr="00A54821">
        <w:rPr>
          <w:rFonts w:ascii="Times New Roman" w:hAnsi="Times New Roman" w:cs="Times New Roman"/>
          <w:sz w:val="28"/>
          <w:szCs w:val="28"/>
        </w:rPr>
        <w:t xml:space="preserve">uthorizations </w:t>
      </w:r>
      <w:r w:rsidR="000521CE">
        <w:rPr>
          <w:rFonts w:ascii="Times New Roman" w:hAnsi="Times New Roman" w:cs="Times New Roman"/>
          <w:sz w:val="28"/>
          <w:szCs w:val="28"/>
        </w:rPr>
        <w:t>according to</w:t>
      </w:r>
      <w:r w:rsidR="000521CE" w:rsidRPr="00A54821">
        <w:rPr>
          <w:rFonts w:ascii="Times New Roman" w:hAnsi="Times New Roman" w:cs="Times New Roman"/>
          <w:sz w:val="28"/>
          <w:szCs w:val="28"/>
        </w:rPr>
        <w:t xml:space="preserve"> the </w:t>
      </w:r>
      <w:r w:rsidR="000521CE">
        <w:rPr>
          <w:rFonts w:ascii="Times New Roman" w:hAnsi="Times New Roman" w:cs="Times New Roman"/>
          <w:sz w:val="28"/>
          <w:szCs w:val="28"/>
        </w:rPr>
        <w:t>specified period of time</w:t>
      </w:r>
      <w:r w:rsidR="000521CE" w:rsidRPr="00A54821">
        <w:rPr>
          <w:rFonts w:ascii="Times New Roman" w:hAnsi="Times New Roman" w:cs="Times New Roman"/>
          <w:sz w:val="28"/>
          <w:szCs w:val="28"/>
        </w:rPr>
        <w:t xml:space="preserve"> by the Board</w:t>
      </w:r>
      <w:r w:rsidR="000521CE">
        <w:rPr>
          <w:rFonts w:ascii="Times New Roman" w:hAnsi="Times New Roman" w:cs="Times New Roman"/>
          <w:sz w:val="28"/>
          <w:szCs w:val="28"/>
        </w:rPr>
        <w:t xml:space="preserve"> that </w:t>
      </w:r>
      <w:r w:rsidRPr="00A54821">
        <w:rPr>
          <w:rFonts w:ascii="Times New Roman" w:hAnsi="Times New Roman" w:cs="Times New Roman"/>
          <w:sz w:val="28"/>
          <w:szCs w:val="28"/>
        </w:rPr>
        <w:t>entitl</w:t>
      </w:r>
      <w:r w:rsidR="000521CE">
        <w:rPr>
          <w:rFonts w:ascii="Times New Roman" w:hAnsi="Times New Roman" w:cs="Times New Roman"/>
          <w:sz w:val="28"/>
          <w:szCs w:val="28"/>
        </w:rPr>
        <w:t>es</w:t>
      </w:r>
      <w:r w:rsidRPr="00A54821">
        <w:rPr>
          <w:rFonts w:ascii="Times New Roman" w:hAnsi="Times New Roman" w:cs="Times New Roman"/>
          <w:sz w:val="28"/>
          <w:szCs w:val="28"/>
        </w:rPr>
        <w:t xml:space="preserve"> him to inquire </w:t>
      </w:r>
      <w:r w:rsidRPr="00182572">
        <w:rPr>
          <w:rFonts w:ascii="Times New Roman" w:hAnsi="Times New Roman" w:cs="Times New Roman"/>
          <w:color w:val="000000" w:themeColor="text1"/>
          <w:sz w:val="28"/>
          <w:szCs w:val="28"/>
        </w:rPr>
        <w:t>about</w:t>
      </w:r>
      <w:r w:rsidR="00F22B69">
        <w:rPr>
          <w:rFonts w:ascii="Times New Roman" w:hAnsi="Times New Roman" w:cs="Times New Roman"/>
          <w:sz w:val="28"/>
          <w:szCs w:val="28"/>
        </w:rPr>
        <w:t xml:space="preserve"> clients</w:t>
      </w:r>
      <w:r w:rsidR="008109FA" w:rsidRPr="00A54821">
        <w:rPr>
          <w:rFonts w:ascii="Times New Roman" w:hAnsi="Times New Roman" w:cs="Times New Roman"/>
          <w:sz w:val="28"/>
          <w:szCs w:val="28"/>
        </w:rPr>
        <w:t>.</w:t>
      </w:r>
    </w:p>
    <w:p w:rsidR="00101DAB" w:rsidRPr="00691FE7" w:rsidRDefault="00101DAB" w:rsidP="00272B4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4821" w:rsidRPr="00A54821" w:rsidRDefault="00A54821" w:rsidP="00272B4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1DAB" w:rsidRDefault="00101DAB" w:rsidP="00272B44">
      <w:pPr>
        <w:pStyle w:val="ListParagraph"/>
        <w:ind w:left="1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4821" w:rsidRDefault="00492C0D" w:rsidP="00272B4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All licensed Financial </w:t>
      </w:r>
      <w:r w:rsidR="0016523E">
        <w:rPr>
          <w:rFonts w:ascii="Times New Roman" w:hAnsi="Times New Roman" w:cs="Times New Roman"/>
          <w:color w:val="000000" w:themeColor="text1"/>
          <w:sz w:val="28"/>
          <w:szCs w:val="28"/>
        </w:rPr>
        <w:t>Brokerage</w:t>
      </w:r>
      <w:r w:rsidRPr="00255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Companies in the </w:t>
      </w:r>
      <w:r w:rsidR="00634355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 w:rsidRPr="00255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arket shall submit an electronic file to the Commission </w:t>
      </w:r>
      <w:r w:rsidR="00BE26AF">
        <w:rPr>
          <w:rFonts w:ascii="Times New Roman" w:hAnsi="Times New Roman" w:cs="Times New Roman"/>
          <w:color w:val="000000" w:themeColor="text1"/>
          <w:sz w:val="28"/>
          <w:szCs w:val="28"/>
        </w:rPr>
        <w:t>on</w:t>
      </w:r>
      <w:r w:rsidR="002A4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</w:t>
      </w:r>
      <w:r w:rsidR="00BE2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Accredited </w:t>
      </w:r>
      <w:r w:rsidR="002A44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F</w:t>
      </w:r>
      <w:r w:rsidR="0016523E">
        <w:rPr>
          <w:rFonts w:ascii="Times New Roman" w:hAnsi="Times New Roman" w:cs="Times New Roman"/>
          <w:color w:val="000000" w:themeColor="text1"/>
          <w:sz w:val="28"/>
          <w:szCs w:val="28"/>
        </w:rPr>
        <w:t>orm</w:t>
      </w:r>
      <w:r w:rsidR="0025574A" w:rsidRPr="00255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by the Board, </w:t>
      </w:r>
      <w:r w:rsidRPr="0025574A">
        <w:rPr>
          <w:rFonts w:ascii="Times New Roman" w:hAnsi="Times New Roman" w:cs="Times New Roman"/>
          <w:color w:val="000000" w:themeColor="text1"/>
          <w:sz w:val="28"/>
          <w:szCs w:val="28"/>
        </w:rPr>
        <w:t>containing all clients Information of Central Risks whose indebtedness exceed</w:t>
      </w:r>
      <w:r w:rsidR="0025574A" w:rsidRPr="0025574A">
        <w:rPr>
          <w:rFonts w:ascii="Times New Roman" w:hAnsi="Times New Roman" w:cs="Times New Roman"/>
          <w:color w:val="000000" w:themeColor="text1"/>
          <w:sz w:val="28"/>
          <w:szCs w:val="28"/>
        </w:rPr>
        <w:t>ed</w:t>
      </w:r>
      <w:r w:rsidRPr="00255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JD (5000)</w:t>
      </w:r>
      <w:r w:rsidR="0016523E">
        <w:rPr>
          <w:rFonts w:ascii="Times New Roman" w:hAnsi="Times New Roman" w:cs="Times New Roman"/>
          <w:color w:val="000000" w:themeColor="text1"/>
          <w:sz w:val="28"/>
          <w:szCs w:val="28"/>
        </w:rPr>
        <w:t>. The electronic file shall</w:t>
      </w:r>
      <w:r w:rsidRPr="00255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includ</w:t>
      </w:r>
      <w:r w:rsidR="0016523E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255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amount of granted finance</w:t>
      </w:r>
      <w:r w:rsidR="00165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the </w:t>
      </w:r>
      <w:r w:rsidR="00317105" w:rsidRPr="00255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market value </w:t>
      </w:r>
      <w:r w:rsidR="00165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of a portfolio &amp; </w:t>
      </w:r>
      <w:r w:rsidR="00317105" w:rsidRPr="00255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guarantees </w:t>
      </w:r>
      <w:r w:rsidR="00165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provided </w:t>
      </w:r>
      <w:r w:rsidR="00317105" w:rsidRPr="00255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 return of </w:t>
      </w:r>
      <w:r w:rsidR="00165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this </w:t>
      </w:r>
      <w:r w:rsidR="00317105" w:rsidRPr="0025574A">
        <w:rPr>
          <w:rFonts w:ascii="Times New Roman" w:hAnsi="Times New Roman" w:cs="Times New Roman"/>
          <w:color w:val="000000" w:themeColor="text1"/>
          <w:sz w:val="28"/>
          <w:szCs w:val="28"/>
        </w:rPr>
        <w:t>finance.</w:t>
      </w:r>
    </w:p>
    <w:p w:rsidR="008109FA" w:rsidRDefault="002C4AB6" w:rsidP="00272B4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aforementioned file in Paragraph (A) of this Article shall be submitted </w:t>
      </w:r>
      <w:r w:rsidR="00165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to the Commission </w:t>
      </w:r>
      <w:r w:rsidRPr="00101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by the end of the </w:t>
      </w:r>
      <w:r w:rsidR="00165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last </w:t>
      </w:r>
      <w:r w:rsidRPr="00101DAB">
        <w:rPr>
          <w:rFonts w:ascii="Times New Roman" w:hAnsi="Times New Roman" w:cs="Times New Roman"/>
          <w:color w:val="000000" w:themeColor="text1"/>
          <w:sz w:val="28"/>
          <w:szCs w:val="28"/>
        </w:rPr>
        <w:t>working day of every week</w:t>
      </w:r>
      <w:r w:rsidR="00165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&amp; at maximum </w:t>
      </w:r>
      <w:r w:rsidRPr="00101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by the end of the first </w:t>
      </w:r>
      <w:r w:rsidR="0089263C" w:rsidRPr="00101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working day of the coming week. The data </w:t>
      </w:r>
      <w:r w:rsidR="00165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of </w:t>
      </w:r>
      <w:r w:rsidR="0089263C" w:rsidRPr="00101DAB">
        <w:rPr>
          <w:rFonts w:ascii="Times New Roman" w:hAnsi="Times New Roman" w:cs="Times New Roman"/>
          <w:color w:val="000000" w:themeColor="text1"/>
          <w:sz w:val="28"/>
          <w:szCs w:val="28"/>
        </w:rPr>
        <w:t>this information shall be available to</w:t>
      </w:r>
      <w:r w:rsidR="00165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users of the System</w:t>
      </w:r>
      <w:r w:rsidR="0089263C" w:rsidRPr="00101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by the end of the first working day of every week.</w:t>
      </w:r>
    </w:p>
    <w:p w:rsidR="002E1607" w:rsidRPr="00101DAB" w:rsidRDefault="002E1607" w:rsidP="00272B44">
      <w:pPr>
        <w:pStyle w:val="ListParagraph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7E0B" w:rsidRPr="00907D81" w:rsidRDefault="00BE7E0B" w:rsidP="00272B4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1DAB" w:rsidRDefault="00101DAB" w:rsidP="00272B44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7EAB" w:rsidRDefault="00CA7EAB" w:rsidP="00272B44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AD1">
        <w:rPr>
          <w:rFonts w:ascii="Times New Roman" w:hAnsi="Times New Roman" w:cs="Times New Roman"/>
          <w:color w:val="000000" w:themeColor="text1"/>
          <w:sz w:val="28"/>
          <w:szCs w:val="28"/>
        </w:rPr>
        <w:t>The authority to inquire</w:t>
      </w:r>
      <w:r w:rsidRPr="00182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about</w:t>
      </w:r>
      <w:r w:rsidRPr="00AA6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2D88" w:rsidRPr="00AA6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clients data &amp; to enter to the Central Risks System shall be </w:t>
      </w:r>
      <w:r w:rsidR="00020274" w:rsidRPr="00AA6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</w:t>
      </w:r>
      <w:r w:rsidR="00EC71C9">
        <w:rPr>
          <w:rFonts w:ascii="Times New Roman" w:hAnsi="Times New Roman" w:cs="Times New Roman"/>
          <w:color w:val="000000" w:themeColor="text1"/>
          <w:sz w:val="28"/>
          <w:szCs w:val="28"/>
        </w:rPr>
        <w:t>sole</w:t>
      </w:r>
      <w:r w:rsidR="00020274" w:rsidRPr="00AA6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responsibility</w:t>
      </w:r>
      <w:r w:rsidR="00FF2D88" w:rsidRPr="00AA6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0274" w:rsidRPr="00AA6AD1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FF2D88" w:rsidRPr="00AA6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 the </w:t>
      </w:r>
      <w:r w:rsidRPr="00AA6AD1">
        <w:rPr>
          <w:rFonts w:ascii="Times New Roman" w:hAnsi="Times New Roman" w:cs="Times New Roman"/>
          <w:color w:val="000000" w:themeColor="text1"/>
          <w:sz w:val="28"/>
          <w:szCs w:val="28"/>
        </w:rPr>
        <w:t>Chairman of the Board of Directors or the General Manager as well as, the Compliance Officer</w:t>
      </w:r>
      <w:r w:rsidR="008109FA" w:rsidRPr="00AA6A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F2D88" w:rsidRPr="00AA6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4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Delegating this authority </w:t>
      </w:r>
      <w:r w:rsidR="00692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to </w:t>
      </w:r>
      <w:r w:rsidR="00444110" w:rsidRPr="00AA6AD1">
        <w:rPr>
          <w:rFonts w:ascii="Times New Roman" w:hAnsi="Times New Roman" w:cs="Times New Roman"/>
          <w:color w:val="000000" w:themeColor="text1"/>
          <w:sz w:val="28"/>
          <w:szCs w:val="28"/>
        </w:rPr>
        <w:t>other employees</w:t>
      </w:r>
      <w:r w:rsidR="00444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shall be prohibited &amp; t</w:t>
      </w:r>
      <w:r w:rsidR="00FF2D88" w:rsidRPr="00AA6AD1">
        <w:rPr>
          <w:rFonts w:ascii="Times New Roman" w:hAnsi="Times New Roman" w:cs="Times New Roman"/>
          <w:color w:val="000000" w:themeColor="text1"/>
          <w:sz w:val="28"/>
          <w:szCs w:val="28"/>
        </w:rPr>
        <w:t>he Commission must be informed with the names of authorizers.</w:t>
      </w:r>
    </w:p>
    <w:p w:rsidR="00101DAB" w:rsidRPr="00691FE7" w:rsidRDefault="00101DAB" w:rsidP="00130335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7E0B" w:rsidRPr="00907D81" w:rsidRDefault="00BE7E0B" w:rsidP="001303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1DAB" w:rsidRDefault="00101DAB" w:rsidP="00130335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020F" w:rsidRDefault="00F31F9D" w:rsidP="00130335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AD1">
        <w:rPr>
          <w:rFonts w:ascii="Times New Roman" w:hAnsi="Times New Roman" w:cs="Times New Roman"/>
          <w:color w:val="000000" w:themeColor="text1"/>
          <w:sz w:val="28"/>
          <w:szCs w:val="28"/>
        </w:rPr>
        <w:t>The System provides a special record of all inquiry processes made by the Financial Broker</w:t>
      </w:r>
      <w:r w:rsidR="0071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&amp; t</w:t>
      </w:r>
      <w:r w:rsidRPr="00AA6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he Commission shall have the right to inquire </w:t>
      </w:r>
      <w:r w:rsidRPr="00182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about </w:t>
      </w:r>
      <w:r w:rsidRPr="00AA6AD1">
        <w:rPr>
          <w:rFonts w:ascii="Times New Roman" w:hAnsi="Times New Roman" w:cs="Times New Roman"/>
          <w:color w:val="000000" w:themeColor="text1"/>
          <w:sz w:val="28"/>
          <w:szCs w:val="28"/>
        </w:rPr>
        <w:t>the purpose of any of these.</w:t>
      </w:r>
    </w:p>
    <w:p w:rsidR="00101DAB" w:rsidRPr="00691FE7" w:rsidRDefault="00101DAB" w:rsidP="00130335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AD1" w:rsidRDefault="00AA6AD1" w:rsidP="001303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1DAB" w:rsidRDefault="00101DAB" w:rsidP="00130335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020F" w:rsidRDefault="0081020F" w:rsidP="00130335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Financial </w:t>
      </w:r>
      <w:r w:rsidR="009B6EFE">
        <w:rPr>
          <w:rFonts w:ascii="Times New Roman" w:hAnsi="Times New Roman" w:cs="Times New Roman"/>
          <w:color w:val="000000" w:themeColor="text1"/>
          <w:sz w:val="28"/>
          <w:szCs w:val="28"/>
        </w:rPr>
        <w:t>Brokerage</w:t>
      </w:r>
      <w:r w:rsidRPr="00AA6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Companies are prohibited to conduct any of the following subject to legal liability:</w:t>
      </w:r>
    </w:p>
    <w:p w:rsidR="00101DAB" w:rsidRDefault="00101DAB" w:rsidP="00130335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09FA" w:rsidRDefault="001A1C0D" w:rsidP="0013033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Misuse of the </w:t>
      </w:r>
      <w:r w:rsidR="00260CFF" w:rsidRPr="00101DAB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101DAB">
        <w:rPr>
          <w:rFonts w:ascii="Times New Roman" w:hAnsi="Times New Roman" w:cs="Times New Roman"/>
          <w:color w:val="000000" w:themeColor="text1"/>
          <w:sz w:val="28"/>
          <w:szCs w:val="28"/>
        </w:rPr>
        <w:t>ystem</w:t>
      </w:r>
      <w:r w:rsidR="008109FA" w:rsidRPr="00101D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09FA" w:rsidRDefault="001A1C0D" w:rsidP="0013033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Inquire </w:t>
      </w:r>
      <w:r w:rsidRPr="003B5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about </w:t>
      </w:r>
      <w:r w:rsidRPr="00101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any client without </w:t>
      </w:r>
      <w:r w:rsidR="00191F79">
        <w:rPr>
          <w:rFonts w:ascii="Times New Roman" w:hAnsi="Times New Roman" w:cs="Times New Roman"/>
          <w:color w:val="000000" w:themeColor="text1"/>
          <w:sz w:val="28"/>
          <w:szCs w:val="28"/>
        </w:rPr>
        <w:t>a Legal A</w:t>
      </w:r>
      <w:r w:rsidRPr="00101DAB">
        <w:rPr>
          <w:rFonts w:ascii="Times New Roman" w:hAnsi="Times New Roman" w:cs="Times New Roman"/>
          <w:color w:val="000000" w:themeColor="text1"/>
          <w:sz w:val="28"/>
          <w:szCs w:val="28"/>
        </w:rPr>
        <w:t>uthorization</w:t>
      </w:r>
      <w:r w:rsidR="008109FA" w:rsidRPr="00101D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09FA" w:rsidRDefault="001A1C0D" w:rsidP="0013033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Inquire </w:t>
      </w:r>
      <w:r w:rsidRPr="003B5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about </w:t>
      </w:r>
      <w:r w:rsidRPr="00101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any client </w:t>
      </w:r>
      <w:r w:rsidR="009B4BFD" w:rsidRPr="00101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via the System </w:t>
      </w:r>
      <w:r w:rsidR="002B1660" w:rsidRPr="00101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for </w:t>
      </w:r>
      <w:r w:rsidRPr="00101DAB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2B1660" w:rsidRPr="00101DAB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r w:rsidRPr="00101DAB">
        <w:rPr>
          <w:rFonts w:ascii="Times New Roman" w:hAnsi="Times New Roman" w:cs="Times New Roman"/>
          <w:color w:val="000000" w:themeColor="text1"/>
          <w:sz w:val="28"/>
          <w:szCs w:val="28"/>
        </w:rPr>
        <w:t>r</w:t>
      </w:r>
      <w:r w:rsidR="002B1660" w:rsidRPr="00101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than</w:t>
      </w:r>
      <w:r w:rsidR="009B6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it</w:t>
      </w:r>
      <w:r w:rsidRPr="00101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 intended </w:t>
      </w:r>
      <w:r w:rsidR="00BD08E3" w:rsidRPr="00101DAB">
        <w:rPr>
          <w:rFonts w:ascii="Times New Roman" w:hAnsi="Times New Roman" w:cs="Times New Roman"/>
          <w:color w:val="000000" w:themeColor="text1"/>
          <w:sz w:val="28"/>
          <w:szCs w:val="28"/>
        </w:rPr>
        <w:t>purpose</w:t>
      </w:r>
      <w:r w:rsidR="008109FA" w:rsidRPr="00101D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09FA" w:rsidRDefault="00440EC3" w:rsidP="0013033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DAB">
        <w:rPr>
          <w:rFonts w:ascii="Times New Roman" w:hAnsi="Times New Roman" w:cs="Times New Roman"/>
          <w:color w:val="000000" w:themeColor="text1"/>
          <w:sz w:val="28"/>
          <w:szCs w:val="28"/>
        </w:rPr>
        <w:t>Provide information taken from the System about any client to others</w:t>
      </w:r>
      <w:r w:rsidR="008109FA" w:rsidRPr="00101D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09FA" w:rsidRDefault="007A50BD" w:rsidP="0013033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DAB">
        <w:rPr>
          <w:rFonts w:ascii="Times New Roman" w:hAnsi="Times New Roman" w:cs="Times New Roman"/>
          <w:color w:val="000000" w:themeColor="text1"/>
          <w:sz w:val="28"/>
          <w:szCs w:val="28"/>
        </w:rPr>
        <w:t>Refrain to inform the client of information taken via the System</w:t>
      </w:r>
      <w:r w:rsidR="008109FA" w:rsidRPr="00101D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09FA" w:rsidRPr="00101DAB" w:rsidRDefault="001A1C0D" w:rsidP="0013033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DAB">
        <w:rPr>
          <w:rFonts w:ascii="Times New Roman" w:hAnsi="Times New Roman" w:cs="Times New Roman"/>
          <w:color w:val="000000" w:themeColor="text1"/>
          <w:sz w:val="28"/>
          <w:szCs w:val="28"/>
        </w:rPr>
        <w:t>Submit false or incomplete or misleading information</w:t>
      </w:r>
      <w:r w:rsidR="008109FA" w:rsidRPr="00101D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1DAB" w:rsidRPr="00691FE7" w:rsidRDefault="00101DAB" w:rsidP="00130335">
      <w:pPr>
        <w:pStyle w:val="ListParagraph"/>
        <w:ind w:left="1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5D46" w:rsidRPr="00824963" w:rsidRDefault="002E5D46" w:rsidP="001303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1DAB" w:rsidRDefault="00101DAB" w:rsidP="00130335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317E" w:rsidRDefault="00F2317E" w:rsidP="00130335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Financial </w:t>
      </w:r>
      <w:r w:rsidR="00DB68E1">
        <w:rPr>
          <w:rFonts w:ascii="Times New Roman" w:hAnsi="Times New Roman" w:cs="Times New Roman"/>
          <w:color w:val="000000" w:themeColor="text1"/>
          <w:sz w:val="28"/>
          <w:szCs w:val="28"/>
        </w:rPr>
        <w:t>Brokerage</w:t>
      </w:r>
      <w:r w:rsidRPr="009E2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Companies </w:t>
      </w:r>
      <w:r w:rsidR="00CD0080" w:rsidRPr="009E2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shall comply to maintain </w:t>
      </w:r>
      <w:r w:rsidR="005D4F6B" w:rsidRPr="009E29B0">
        <w:rPr>
          <w:rFonts w:ascii="Times New Roman" w:hAnsi="Times New Roman" w:cs="Times New Roman"/>
          <w:color w:val="000000" w:themeColor="text1"/>
          <w:sz w:val="28"/>
          <w:szCs w:val="28"/>
        </w:rPr>
        <w:t>confidential</w:t>
      </w:r>
      <w:r w:rsidR="00970EC9">
        <w:rPr>
          <w:rFonts w:ascii="Times New Roman" w:hAnsi="Times New Roman" w:cs="Times New Roman"/>
          <w:color w:val="000000" w:themeColor="text1"/>
          <w:sz w:val="28"/>
          <w:szCs w:val="28"/>
        </w:rPr>
        <w:t>ity of</w:t>
      </w:r>
      <w:r w:rsidR="00CD0080" w:rsidRPr="009E2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information &amp; to apply secur</w:t>
      </w:r>
      <w:r w:rsidR="005D4F6B" w:rsidRPr="009E29B0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CD0080" w:rsidRPr="009E2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&amp; </w:t>
      </w:r>
      <w:r w:rsidR="005D4F6B" w:rsidRPr="009E29B0">
        <w:rPr>
          <w:rFonts w:ascii="Times New Roman" w:hAnsi="Times New Roman" w:cs="Times New Roman"/>
          <w:color w:val="000000" w:themeColor="text1"/>
          <w:sz w:val="28"/>
          <w:szCs w:val="28"/>
        </w:rPr>
        <w:t>safe</w:t>
      </w:r>
      <w:r w:rsidR="00CD0080" w:rsidRPr="009E2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4F6B" w:rsidRPr="009E29B0">
        <w:rPr>
          <w:rFonts w:ascii="Times New Roman" w:hAnsi="Times New Roman" w:cs="Times New Roman"/>
          <w:color w:val="000000" w:themeColor="text1"/>
          <w:sz w:val="28"/>
          <w:szCs w:val="28"/>
        </w:rPr>
        <w:t>procedures t</w:t>
      </w:r>
      <w:r w:rsidR="00CD0080" w:rsidRPr="009E2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</w:t>
      </w:r>
      <w:r w:rsidR="005D4F6B" w:rsidRPr="009E2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protect </w:t>
      </w:r>
      <w:r w:rsidR="00CD0080" w:rsidRPr="009E2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information </w:t>
      </w:r>
      <w:r w:rsidR="003C6788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r w:rsidR="00CD0080" w:rsidRPr="009E2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</w:t>
      </w:r>
      <w:r w:rsidR="00DB68E1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CD0080" w:rsidRPr="009E2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ystem from </w:t>
      </w:r>
      <w:r w:rsidR="005D4F6B" w:rsidRPr="009E2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any </w:t>
      </w:r>
      <w:r w:rsidR="00CD0080" w:rsidRPr="009E29B0">
        <w:rPr>
          <w:rFonts w:ascii="Times New Roman" w:hAnsi="Times New Roman" w:cs="Times New Roman"/>
          <w:color w:val="000000" w:themeColor="text1"/>
          <w:sz w:val="28"/>
          <w:szCs w:val="28"/>
        </w:rPr>
        <w:t>intruder</w:t>
      </w:r>
      <w:r w:rsidR="001A1C0D" w:rsidRPr="009E29B0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CD0080" w:rsidRPr="009E2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on </w:t>
      </w:r>
      <w:r w:rsidR="001A1C0D" w:rsidRPr="009E2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its </w:t>
      </w:r>
      <w:r w:rsidR="00CD0080" w:rsidRPr="009E2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information systems or </w:t>
      </w:r>
      <w:r w:rsidR="003E6865">
        <w:rPr>
          <w:rFonts w:ascii="Times New Roman" w:hAnsi="Times New Roman" w:cs="Times New Roman"/>
          <w:color w:val="000000" w:themeColor="text1"/>
          <w:sz w:val="28"/>
          <w:szCs w:val="28"/>
        </w:rPr>
        <w:t>from</w:t>
      </w:r>
      <w:r w:rsidR="00CD0080" w:rsidRPr="009E2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amend</w:t>
      </w:r>
      <w:r w:rsidR="003E6865">
        <w:rPr>
          <w:rFonts w:ascii="Times New Roman" w:hAnsi="Times New Roman" w:cs="Times New Roman"/>
          <w:color w:val="000000" w:themeColor="text1"/>
          <w:sz w:val="28"/>
          <w:szCs w:val="28"/>
        </w:rPr>
        <w:t>ing</w:t>
      </w:r>
      <w:r w:rsidR="00CD0080" w:rsidRPr="009E2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any information </w:t>
      </w:r>
      <w:r w:rsidR="00BD08E3" w:rsidRPr="009E29B0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CD0080" w:rsidRPr="009E29B0"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="00BD08E3" w:rsidRPr="009E29B0">
        <w:rPr>
          <w:rFonts w:ascii="Times New Roman" w:hAnsi="Times New Roman" w:cs="Times New Roman"/>
          <w:color w:val="000000" w:themeColor="text1"/>
          <w:sz w:val="28"/>
          <w:szCs w:val="28"/>
        </w:rPr>
        <w:t>bject to</w:t>
      </w:r>
      <w:r w:rsidR="001A1C0D" w:rsidRPr="009E2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legal liability</w:t>
      </w:r>
      <w:r w:rsidR="008109FA" w:rsidRPr="009E29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1DAB" w:rsidRPr="00691FE7" w:rsidRDefault="00101DAB" w:rsidP="00130335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5D46" w:rsidRPr="00824963" w:rsidRDefault="002E5D46" w:rsidP="001303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1DAB" w:rsidRDefault="00101DAB" w:rsidP="00130335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09FA" w:rsidRDefault="00E400FC" w:rsidP="00130335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client </w:t>
      </w:r>
      <w:r w:rsidR="00DB68E1">
        <w:rPr>
          <w:rFonts w:ascii="Times New Roman" w:hAnsi="Times New Roman" w:cs="Times New Roman"/>
          <w:color w:val="000000" w:themeColor="text1"/>
          <w:sz w:val="28"/>
          <w:szCs w:val="28"/>
        </w:rPr>
        <w:t>shall have</w:t>
      </w:r>
      <w:r w:rsidRPr="009E2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right to object to the Commission o</w:t>
      </w:r>
      <w:r w:rsidR="00C24A0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9E2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any Information of Central Risk</w:t>
      </w:r>
      <w:r w:rsidR="007135C2" w:rsidRPr="009E29B0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9E2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related to him according to</w:t>
      </w:r>
      <w:r w:rsidR="00C24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Boards’</w:t>
      </w:r>
      <w:r w:rsidRPr="009E2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4A02">
        <w:rPr>
          <w:rFonts w:ascii="Times New Roman" w:hAnsi="Times New Roman" w:cs="Times New Roman"/>
          <w:color w:val="000000" w:themeColor="text1"/>
          <w:sz w:val="28"/>
          <w:szCs w:val="28"/>
        </w:rPr>
        <w:t>procedures</w:t>
      </w:r>
      <w:r w:rsidR="008109FA" w:rsidRPr="009E29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24A02" w:rsidRPr="009E29B0" w:rsidRDefault="00C24A02" w:rsidP="00227804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24A02" w:rsidRPr="009E29B0" w:rsidSect="00EC256E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A86" w:rsidRDefault="00627A86" w:rsidP="00335768">
      <w:pPr>
        <w:spacing w:after="0"/>
      </w:pPr>
      <w:r>
        <w:separator/>
      </w:r>
    </w:p>
  </w:endnote>
  <w:endnote w:type="continuationSeparator" w:id="0">
    <w:p w:rsidR="00627A86" w:rsidRDefault="00627A86" w:rsidP="003357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7032"/>
      <w:docPartObj>
        <w:docPartGallery w:val="Page Numbers (Bottom of Page)"/>
        <w:docPartUnique/>
      </w:docPartObj>
    </w:sdtPr>
    <w:sdtContent>
      <w:p w:rsidR="00EB6C76" w:rsidRDefault="00784C5B">
        <w:pPr>
          <w:pStyle w:val="Footer"/>
          <w:jc w:val="center"/>
        </w:pPr>
        <w:fldSimple w:instr=" PAGE   \* MERGEFORMAT ">
          <w:r w:rsidR="00970EC9">
            <w:rPr>
              <w:noProof/>
            </w:rPr>
            <w:t>4</w:t>
          </w:r>
        </w:fldSimple>
      </w:p>
    </w:sdtContent>
  </w:sdt>
  <w:p w:rsidR="00EB6C76" w:rsidRDefault="00EB6C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A86" w:rsidRDefault="00627A86" w:rsidP="00335768">
      <w:pPr>
        <w:spacing w:after="0"/>
      </w:pPr>
      <w:r>
        <w:separator/>
      </w:r>
    </w:p>
  </w:footnote>
  <w:footnote w:type="continuationSeparator" w:id="0">
    <w:p w:rsidR="00627A86" w:rsidRDefault="00627A86" w:rsidP="0033576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B7A8A"/>
    <w:multiLevelType w:val="hybridMultilevel"/>
    <w:tmpl w:val="5CDCDDE2"/>
    <w:lvl w:ilvl="0" w:tplc="AD981464">
      <w:start w:val="1"/>
      <w:numFmt w:val="upperLetter"/>
      <w:lvlText w:val="%1."/>
      <w:lvlJc w:val="left"/>
      <w:pPr>
        <w:ind w:left="21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F5F3918"/>
    <w:multiLevelType w:val="hybridMultilevel"/>
    <w:tmpl w:val="D9C8810E"/>
    <w:lvl w:ilvl="0" w:tplc="6922D1C0">
      <w:start w:val="1"/>
      <w:numFmt w:val="decimal"/>
      <w:lvlText w:val="Article (%1):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E5CA1"/>
    <w:multiLevelType w:val="hybridMultilevel"/>
    <w:tmpl w:val="64B27810"/>
    <w:lvl w:ilvl="0" w:tplc="04090015">
      <w:start w:val="1"/>
      <w:numFmt w:val="upp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495012"/>
    <w:multiLevelType w:val="hybridMultilevel"/>
    <w:tmpl w:val="183C10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CA1488"/>
    <w:multiLevelType w:val="hybridMultilevel"/>
    <w:tmpl w:val="BF3C1420"/>
    <w:lvl w:ilvl="0" w:tplc="5CE4FBF0">
      <w:start w:val="1"/>
      <w:numFmt w:val="upp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1471E43"/>
    <w:multiLevelType w:val="hybridMultilevel"/>
    <w:tmpl w:val="4B7E994E"/>
    <w:lvl w:ilvl="0" w:tplc="E3C23C76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75543F"/>
    <w:multiLevelType w:val="hybridMultilevel"/>
    <w:tmpl w:val="6A74472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8B10DB0"/>
    <w:multiLevelType w:val="hybridMultilevel"/>
    <w:tmpl w:val="7A62826E"/>
    <w:lvl w:ilvl="0" w:tplc="3B906D84">
      <w:start w:val="1"/>
      <w:numFmt w:val="upp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4291301"/>
    <w:multiLevelType w:val="hybridMultilevel"/>
    <w:tmpl w:val="2B408958"/>
    <w:lvl w:ilvl="0" w:tplc="9C2CD24C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BC8"/>
    <w:rsid w:val="00002E2E"/>
    <w:rsid w:val="00004EF2"/>
    <w:rsid w:val="000102B9"/>
    <w:rsid w:val="00013CC1"/>
    <w:rsid w:val="00016156"/>
    <w:rsid w:val="00020274"/>
    <w:rsid w:val="00025764"/>
    <w:rsid w:val="00036451"/>
    <w:rsid w:val="000521CE"/>
    <w:rsid w:val="00071347"/>
    <w:rsid w:val="00071CFF"/>
    <w:rsid w:val="00087FC7"/>
    <w:rsid w:val="000A3DEA"/>
    <w:rsid w:val="000A5428"/>
    <w:rsid w:val="000B43F5"/>
    <w:rsid w:val="000E3B2B"/>
    <w:rsid w:val="000E56AA"/>
    <w:rsid w:val="00101DAB"/>
    <w:rsid w:val="00125E2E"/>
    <w:rsid w:val="00130335"/>
    <w:rsid w:val="001352A1"/>
    <w:rsid w:val="0016523E"/>
    <w:rsid w:val="00182572"/>
    <w:rsid w:val="00186BA8"/>
    <w:rsid w:val="00187AB0"/>
    <w:rsid w:val="00191F79"/>
    <w:rsid w:val="001955D9"/>
    <w:rsid w:val="001A1C0D"/>
    <w:rsid w:val="001B3C79"/>
    <w:rsid w:val="00227804"/>
    <w:rsid w:val="00227F4D"/>
    <w:rsid w:val="00237A1A"/>
    <w:rsid w:val="0025574A"/>
    <w:rsid w:val="00260CFF"/>
    <w:rsid w:val="00266598"/>
    <w:rsid w:val="00272B44"/>
    <w:rsid w:val="00274567"/>
    <w:rsid w:val="0028276F"/>
    <w:rsid w:val="00283BF8"/>
    <w:rsid w:val="00290F10"/>
    <w:rsid w:val="002A4490"/>
    <w:rsid w:val="002B1660"/>
    <w:rsid w:val="002C4AB6"/>
    <w:rsid w:val="002D17C6"/>
    <w:rsid w:val="002D20B9"/>
    <w:rsid w:val="002D57E9"/>
    <w:rsid w:val="002E1607"/>
    <w:rsid w:val="002E5D46"/>
    <w:rsid w:val="003018D3"/>
    <w:rsid w:val="00302D78"/>
    <w:rsid w:val="00312BD4"/>
    <w:rsid w:val="00314D07"/>
    <w:rsid w:val="00317105"/>
    <w:rsid w:val="00322B35"/>
    <w:rsid w:val="00335768"/>
    <w:rsid w:val="00336BC9"/>
    <w:rsid w:val="0035185D"/>
    <w:rsid w:val="003523C7"/>
    <w:rsid w:val="00352EFA"/>
    <w:rsid w:val="00353EA5"/>
    <w:rsid w:val="0036337F"/>
    <w:rsid w:val="00380C4D"/>
    <w:rsid w:val="00380DAC"/>
    <w:rsid w:val="00395D59"/>
    <w:rsid w:val="003A5442"/>
    <w:rsid w:val="003B5C50"/>
    <w:rsid w:val="003B639F"/>
    <w:rsid w:val="003C0766"/>
    <w:rsid w:val="003C6788"/>
    <w:rsid w:val="003D0821"/>
    <w:rsid w:val="003E6865"/>
    <w:rsid w:val="00440EC3"/>
    <w:rsid w:val="00444110"/>
    <w:rsid w:val="004459D2"/>
    <w:rsid w:val="0045167C"/>
    <w:rsid w:val="00451AAE"/>
    <w:rsid w:val="00466084"/>
    <w:rsid w:val="00467BAA"/>
    <w:rsid w:val="00471927"/>
    <w:rsid w:val="0048758B"/>
    <w:rsid w:val="00492C0D"/>
    <w:rsid w:val="004A263D"/>
    <w:rsid w:val="004C4135"/>
    <w:rsid w:val="004F262D"/>
    <w:rsid w:val="00500130"/>
    <w:rsid w:val="00510F90"/>
    <w:rsid w:val="0051348F"/>
    <w:rsid w:val="00523BD8"/>
    <w:rsid w:val="00530AAD"/>
    <w:rsid w:val="0057188E"/>
    <w:rsid w:val="00577B4E"/>
    <w:rsid w:val="00582C9E"/>
    <w:rsid w:val="005B07D1"/>
    <w:rsid w:val="005D0ED9"/>
    <w:rsid w:val="005D4F6B"/>
    <w:rsid w:val="005E59B4"/>
    <w:rsid w:val="005F7DE0"/>
    <w:rsid w:val="005F7EF6"/>
    <w:rsid w:val="006059D2"/>
    <w:rsid w:val="00627A86"/>
    <w:rsid w:val="00634355"/>
    <w:rsid w:val="006557DC"/>
    <w:rsid w:val="00656562"/>
    <w:rsid w:val="00671EA1"/>
    <w:rsid w:val="00674E16"/>
    <w:rsid w:val="006766DE"/>
    <w:rsid w:val="00680853"/>
    <w:rsid w:val="00682B08"/>
    <w:rsid w:val="006843BF"/>
    <w:rsid w:val="00691FE7"/>
    <w:rsid w:val="00692355"/>
    <w:rsid w:val="006B6390"/>
    <w:rsid w:val="006D0C45"/>
    <w:rsid w:val="006D1C9D"/>
    <w:rsid w:val="006F7EFB"/>
    <w:rsid w:val="007135C2"/>
    <w:rsid w:val="00714A2D"/>
    <w:rsid w:val="00717C7C"/>
    <w:rsid w:val="00730BFF"/>
    <w:rsid w:val="007341D6"/>
    <w:rsid w:val="00737DC9"/>
    <w:rsid w:val="007459A7"/>
    <w:rsid w:val="00746355"/>
    <w:rsid w:val="00762604"/>
    <w:rsid w:val="007818E3"/>
    <w:rsid w:val="00784C5B"/>
    <w:rsid w:val="00786C5F"/>
    <w:rsid w:val="00793093"/>
    <w:rsid w:val="007A50BD"/>
    <w:rsid w:val="007D5DB9"/>
    <w:rsid w:val="0081020F"/>
    <w:rsid w:val="008109FA"/>
    <w:rsid w:val="00814ACC"/>
    <w:rsid w:val="00824963"/>
    <w:rsid w:val="00830BF7"/>
    <w:rsid w:val="0083100A"/>
    <w:rsid w:val="00834C59"/>
    <w:rsid w:val="00836551"/>
    <w:rsid w:val="008624DA"/>
    <w:rsid w:val="00877442"/>
    <w:rsid w:val="0089263C"/>
    <w:rsid w:val="008E7A40"/>
    <w:rsid w:val="00907D81"/>
    <w:rsid w:val="00925C6A"/>
    <w:rsid w:val="009416D9"/>
    <w:rsid w:val="00943942"/>
    <w:rsid w:val="00951DBF"/>
    <w:rsid w:val="0095657E"/>
    <w:rsid w:val="00960380"/>
    <w:rsid w:val="0096601E"/>
    <w:rsid w:val="00970EC9"/>
    <w:rsid w:val="00972291"/>
    <w:rsid w:val="00984E4B"/>
    <w:rsid w:val="009979A8"/>
    <w:rsid w:val="009B4BFD"/>
    <w:rsid w:val="009B6EFE"/>
    <w:rsid w:val="009D2665"/>
    <w:rsid w:val="009E29B0"/>
    <w:rsid w:val="009F4F27"/>
    <w:rsid w:val="00A01C57"/>
    <w:rsid w:val="00A0271B"/>
    <w:rsid w:val="00A12D0C"/>
    <w:rsid w:val="00A54821"/>
    <w:rsid w:val="00A715FB"/>
    <w:rsid w:val="00A92234"/>
    <w:rsid w:val="00AA6AD1"/>
    <w:rsid w:val="00AC4B69"/>
    <w:rsid w:val="00AD5696"/>
    <w:rsid w:val="00AD68B5"/>
    <w:rsid w:val="00AE3382"/>
    <w:rsid w:val="00B116F7"/>
    <w:rsid w:val="00B17AAF"/>
    <w:rsid w:val="00B3375A"/>
    <w:rsid w:val="00B37A22"/>
    <w:rsid w:val="00B4342A"/>
    <w:rsid w:val="00B47B85"/>
    <w:rsid w:val="00B9006F"/>
    <w:rsid w:val="00B903F3"/>
    <w:rsid w:val="00B96D19"/>
    <w:rsid w:val="00BA60CB"/>
    <w:rsid w:val="00BB5D7E"/>
    <w:rsid w:val="00BC5503"/>
    <w:rsid w:val="00BD08E3"/>
    <w:rsid w:val="00BE26AF"/>
    <w:rsid w:val="00BE7E0B"/>
    <w:rsid w:val="00BF497A"/>
    <w:rsid w:val="00BF4B1F"/>
    <w:rsid w:val="00C112F5"/>
    <w:rsid w:val="00C14259"/>
    <w:rsid w:val="00C22C86"/>
    <w:rsid w:val="00C24A02"/>
    <w:rsid w:val="00C77EEF"/>
    <w:rsid w:val="00C82166"/>
    <w:rsid w:val="00CA66FA"/>
    <w:rsid w:val="00CA7EAB"/>
    <w:rsid w:val="00CB4127"/>
    <w:rsid w:val="00CD0080"/>
    <w:rsid w:val="00CD51DF"/>
    <w:rsid w:val="00CE26AE"/>
    <w:rsid w:val="00CF78DE"/>
    <w:rsid w:val="00D25B9D"/>
    <w:rsid w:val="00D57DEC"/>
    <w:rsid w:val="00D636E6"/>
    <w:rsid w:val="00D63DC8"/>
    <w:rsid w:val="00D721CB"/>
    <w:rsid w:val="00D83468"/>
    <w:rsid w:val="00D935B9"/>
    <w:rsid w:val="00DB08AD"/>
    <w:rsid w:val="00DB68E1"/>
    <w:rsid w:val="00DE4109"/>
    <w:rsid w:val="00DF558A"/>
    <w:rsid w:val="00E00701"/>
    <w:rsid w:val="00E400FC"/>
    <w:rsid w:val="00E51BA9"/>
    <w:rsid w:val="00E51E29"/>
    <w:rsid w:val="00E52436"/>
    <w:rsid w:val="00E553E5"/>
    <w:rsid w:val="00E6193A"/>
    <w:rsid w:val="00E73D25"/>
    <w:rsid w:val="00E7573D"/>
    <w:rsid w:val="00E86A49"/>
    <w:rsid w:val="00EB6C76"/>
    <w:rsid w:val="00EC256E"/>
    <w:rsid w:val="00EC5A49"/>
    <w:rsid w:val="00EC71C9"/>
    <w:rsid w:val="00EC7F6B"/>
    <w:rsid w:val="00ED1A99"/>
    <w:rsid w:val="00ED1B62"/>
    <w:rsid w:val="00ED2AD0"/>
    <w:rsid w:val="00EF66CD"/>
    <w:rsid w:val="00F0197C"/>
    <w:rsid w:val="00F066B0"/>
    <w:rsid w:val="00F22241"/>
    <w:rsid w:val="00F22B69"/>
    <w:rsid w:val="00F2317E"/>
    <w:rsid w:val="00F31F9D"/>
    <w:rsid w:val="00F32E72"/>
    <w:rsid w:val="00F5255D"/>
    <w:rsid w:val="00F65659"/>
    <w:rsid w:val="00F70AB5"/>
    <w:rsid w:val="00F70F54"/>
    <w:rsid w:val="00F775A3"/>
    <w:rsid w:val="00FA4628"/>
    <w:rsid w:val="00FB062A"/>
    <w:rsid w:val="00FB52BD"/>
    <w:rsid w:val="00FB731A"/>
    <w:rsid w:val="00FC1F23"/>
    <w:rsid w:val="00FC7837"/>
    <w:rsid w:val="00FD0385"/>
    <w:rsid w:val="00FE3BC8"/>
    <w:rsid w:val="00FF2CB6"/>
    <w:rsid w:val="00FF2D88"/>
    <w:rsid w:val="00FF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9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576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768"/>
  </w:style>
  <w:style w:type="paragraph" w:styleId="Footer">
    <w:name w:val="footer"/>
    <w:basedOn w:val="Normal"/>
    <w:link w:val="FooterChar"/>
    <w:uiPriority w:val="99"/>
    <w:unhideWhenUsed/>
    <w:rsid w:val="0033576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35768"/>
  </w:style>
  <w:style w:type="paragraph" w:styleId="BalloonText">
    <w:name w:val="Balloon Text"/>
    <w:basedOn w:val="Normal"/>
    <w:link w:val="BalloonTextChar"/>
    <w:uiPriority w:val="99"/>
    <w:semiHidden/>
    <w:unhideWhenUsed/>
    <w:rsid w:val="00FC783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4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jsc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Nuha M. Al-Ramini</dc:creator>
  <cp:keywords/>
  <dc:description/>
  <cp:lastModifiedBy>Nuha M. Al-Ramini</cp:lastModifiedBy>
  <cp:revision>296</cp:revision>
  <cp:lastPrinted>2013-01-08T08:26:00Z</cp:lastPrinted>
  <dcterms:created xsi:type="dcterms:W3CDTF">2013-01-02T08:56:00Z</dcterms:created>
  <dcterms:modified xsi:type="dcterms:W3CDTF">2013-01-15T07:10:00Z</dcterms:modified>
</cp:coreProperties>
</file>